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BF6" w:rsidRDefault="008E7BF6">
      <w:pPr>
        <w:widowControl w:val="0"/>
        <w:pBdr>
          <w:top w:val="nil"/>
          <w:left w:val="nil"/>
          <w:bottom w:val="nil"/>
          <w:right w:val="nil"/>
          <w:between w:val="nil"/>
        </w:pBdr>
        <w:spacing w:after="0"/>
        <w:rPr>
          <w:rFonts w:ascii="Arial" w:eastAsia="Arial" w:hAnsi="Arial" w:cs="Arial"/>
          <w:sz w:val="16"/>
          <w:szCs w:val="16"/>
        </w:rPr>
      </w:pPr>
    </w:p>
    <w:p w:rsidR="008E7BF6" w:rsidRPr="00E2045B" w:rsidRDefault="00861EF8">
      <w:pPr>
        <w:widowControl w:val="0"/>
        <w:pBdr>
          <w:top w:val="nil"/>
          <w:left w:val="nil"/>
          <w:bottom w:val="nil"/>
          <w:right w:val="nil"/>
          <w:between w:val="nil"/>
        </w:pBdr>
        <w:spacing w:after="0"/>
        <w:rPr>
          <w:b/>
          <w:sz w:val="24"/>
          <w:szCs w:val="24"/>
        </w:rPr>
      </w:pPr>
      <w:r w:rsidRPr="00E2045B">
        <w:rPr>
          <w:b/>
          <w:sz w:val="24"/>
          <w:szCs w:val="24"/>
        </w:rPr>
        <w:t xml:space="preserve">Description:  </w:t>
      </w:r>
    </w:p>
    <w:p w:rsidR="008E7BF6" w:rsidRPr="00E2045B" w:rsidRDefault="00861EF8">
      <w:pPr>
        <w:widowControl w:val="0"/>
        <w:pBdr>
          <w:top w:val="nil"/>
          <w:left w:val="nil"/>
          <w:bottom w:val="nil"/>
          <w:right w:val="nil"/>
          <w:between w:val="nil"/>
        </w:pBdr>
        <w:spacing w:after="0"/>
      </w:pPr>
      <w:r w:rsidRPr="00E2045B">
        <w:t>This webinar will introduce participants to The AFLS Assessment and Curriculum Guides as an extension to a verbal behavior program.  Participants will gain the knowledge and tools to track a learner’s functional living skills and plan an individual intervention program to increase independence.</w:t>
      </w:r>
    </w:p>
    <w:p w:rsidR="008E7BF6" w:rsidRDefault="008E7BF6">
      <w:pPr>
        <w:widowControl w:val="0"/>
        <w:pBdr>
          <w:top w:val="nil"/>
          <w:left w:val="nil"/>
          <w:bottom w:val="nil"/>
          <w:right w:val="nil"/>
          <w:between w:val="nil"/>
        </w:pBdr>
        <w:spacing w:after="0"/>
        <w:rPr>
          <w:sz w:val="18"/>
          <w:szCs w:val="18"/>
        </w:rPr>
      </w:pPr>
    </w:p>
    <w:tbl>
      <w:tblPr>
        <w:tblStyle w:val="a"/>
        <w:tblW w:w="10978" w:type="dxa"/>
        <w:tblBorders>
          <w:top w:val="nil"/>
          <w:left w:val="nil"/>
          <w:bottom w:val="nil"/>
          <w:right w:val="nil"/>
          <w:insideH w:val="nil"/>
          <w:insideV w:val="nil"/>
        </w:tblBorders>
        <w:tblLayout w:type="fixed"/>
        <w:tblLook w:val="0400" w:firstRow="0" w:lastRow="0" w:firstColumn="0" w:lastColumn="0" w:noHBand="0" w:noVBand="1"/>
      </w:tblPr>
      <w:tblGrid>
        <w:gridCol w:w="10978"/>
      </w:tblGrid>
      <w:tr w:rsidR="008E7BF6" w:rsidTr="00E2045B">
        <w:trPr>
          <w:trHeight w:val="3231"/>
        </w:trPr>
        <w:tc>
          <w:tcPr>
            <w:tcW w:w="10978" w:type="dxa"/>
          </w:tcPr>
          <w:p w:rsidR="008E7BF6" w:rsidRDefault="00861EF8">
            <w:pPr>
              <w:jc w:val="both"/>
              <w:rPr>
                <w:b/>
                <w:sz w:val="24"/>
                <w:szCs w:val="24"/>
              </w:rPr>
            </w:pPr>
            <w:r>
              <w:rPr>
                <w:b/>
                <w:sz w:val="24"/>
                <w:szCs w:val="24"/>
              </w:rPr>
              <w:t>Learning Objectives:</w:t>
            </w:r>
          </w:p>
          <w:p w:rsidR="008E7BF6" w:rsidRDefault="00861EF8">
            <w:pPr>
              <w:numPr>
                <w:ilvl w:val="0"/>
                <w:numId w:val="1"/>
              </w:numPr>
              <w:contextualSpacing/>
              <w:jc w:val="both"/>
            </w:pPr>
            <w:bookmarkStart w:id="0" w:name="_GoBack"/>
            <w:r>
              <w:t>Participants will understand the importance of including functional living skills in an individual intervention plan.</w:t>
            </w:r>
          </w:p>
          <w:p w:rsidR="008E7BF6" w:rsidRDefault="00861EF8">
            <w:pPr>
              <w:numPr>
                <w:ilvl w:val="0"/>
                <w:numId w:val="1"/>
              </w:numPr>
              <w:contextualSpacing/>
              <w:jc w:val="both"/>
            </w:pPr>
            <w:r>
              <w:t>Participants will become familiar with the Assessment of Functional Living Skills Guides that include protocols in Basic Living Skills, School Skills, Home Skills, Community Skills, Vocational Skills and Independent Living Skills.</w:t>
            </w:r>
          </w:p>
          <w:p w:rsidR="008E7BF6" w:rsidRDefault="00861EF8">
            <w:pPr>
              <w:numPr>
                <w:ilvl w:val="0"/>
                <w:numId w:val="1"/>
              </w:numPr>
              <w:contextualSpacing/>
              <w:jc w:val="both"/>
            </w:pPr>
            <w:r>
              <w:t>Participants will learn how to use planning tools to easily develop a program that incorporates functional living skills chosen from the AFLS.</w:t>
            </w:r>
          </w:p>
          <w:bookmarkEnd w:id="0"/>
          <w:p w:rsidR="008E7BF6" w:rsidRDefault="008E7BF6">
            <w:pPr>
              <w:ind w:left="720"/>
              <w:jc w:val="both"/>
              <w:rPr>
                <w:sz w:val="16"/>
                <w:szCs w:val="16"/>
              </w:rPr>
            </w:pPr>
          </w:p>
          <w:p w:rsidR="00E2045B" w:rsidRPr="00E2045B" w:rsidRDefault="00861EF8">
            <w:pPr>
              <w:rPr>
                <w:b/>
                <w:sz w:val="28"/>
                <w:szCs w:val="28"/>
              </w:rPr>
            </w:pPr>
            <w:r>
              <w:rPr>
                <w:b/>
                <w:sz w:val="24"/>
                <w:szCs w:val="24"/>
              </w:rPr>
              <w:t xml:space="preserve">Presenter Information: </w:t>
            </w:r>
          </w:p>
          <w:p w:rsidR="008E7BF6" w:rsidRDefault="00861EF8">
            <w:pPr>
              <w:rPr>
                <w:b/>
                <w:color w:val="000000"/>
              </w:rPr>
            </w:pPr>
            <w:r>
              <w:rPr>
                <w:b/>
                <w:color w:val="000000"/>
              </w:rPr>
              <w:t xml:space="preserve">Deb </w:t>
            </w:r>
            <w:proofErr w:type="spellStart"/>
            <w:r>
              <w:rPr>
                <w:b/>
                <w:color w:val="000000"/>
              </w:rPr>
              <w:t>Rauner</w:t>
            </w:r>
            <w:proofErr w:type="spellEnd"/>
            <w:r>
              <w:rPr>
                <w:b/>
                <w:color w:val="000000"/>
              </w:rPr>
              <w:t xml:space="preserve"> </w:t>
            </w:r>
            <w:proofErr w:type="spellStart"/>
            <w:r>
              <w:rPr>
                <w:b/>
                <w:color w:val="000000"/>
              </w:rPr>
              <w:t>M.Ed</w:t>
            </w:r>
            <w:proofErr w:type="spellEnd"/>
            <w:r>
              <w:rPr>
                <w:b/>
                <w:color w:val="000000"/>
              </w:rPr>
              <w:t xml:space="preserve"> </w:t>
            </w:r>
            <w:r>
              <w:rPr>
                <w:color w:val="000000"/>
              </w:rPr>
              <w:t xml:space="preserve">received a B.S. in Elementary and Special Education and a M. Ed. In Educational Psychology with endorsements in Elementary Education, Special Education (Mild/Moderate/Severe Disabilities and Behavior Disorders). Ms. </w:t>
            </w:r>
            <w:proofErr w:type="spellStart"/>
            <w:r>
              <w:rPr>
                <w:color w:val="000000"/>
              </w:rPr>
              <w:t>Rauner</w:t>
            </w:r>
            <w:proofErr w:type="spellEnd"/>
            <w:r>
              <w:rPr>
                <w:color w:val="000000"/>
              </w:rPr>
              <w:t xml:space="preserve"> has been a special education teacher for 33 years, with 17 years as a classroom teacher for students with autism, moderate and severe disabilities and 16 years as a Behavior Specialist. Ms. </w:t>
            </w:r>
            <w:proofErr w:type="spellStart"/>
            <w:r>
              <w:rPr>
                <w:color w:val="000000"/>
              </w:rPr>
              <w:t>Rauner</w:t>
            </w:r>
            <w:proofErr w:type="spellEnd"/>
            <w:r>
              <w:rPr>
                <w:color w:val="000000"/>
              </w:rPr>
              <w:t xml:space="preserve"> has served students in self-contained classroom and regular education classrooms and has also done consultation in early childhood classrooms, daycares, with home programming and at vocational sites. Ms. </w:t>
            </w:r>
            <w:proofErr w:type="spellStart"/>
            <w:r>
              <w:rPr>
                <w:color w:val="000000"/>
              </w:rPr>
              <w:t>Rauner</w:t>
            </w:r>
            <w:proofErr w:type="spellEnd"/>
            <w:r>
              <w:rPr>
                <w:color w:val="000000"/>
              </w:rPr>
              <w:t xml:space="preserve"> has received and provided a variety of training in areas such as Applied Behavior Analysis, Functional Behavior Assessment, Programming for students with Autism Spectrum Disorders, and Teaching Language and Designing ABA Classrooms using Verbal Behavior Strategies. Ms. </w:t>
            </w:r>
            <w:proofErr w:type="spellStart"/>
            <w:r>
              <w:rPr>
                <w:color w:val="000000"/>
              </w:rPr>
              <w:t>Rauner</w:t>
            </w:r>
            <w:proofErr w:type="spellEnd"/>
            <w:r>
              <w:rPr>
                <w:color w:val="000000"/>
              </w:rPr>
              <w:t xml:space="preserve"> is currently an Autism Consultant.</w:t>
            </w:r>
            <w:r>
              <w:rPr>
                <w:noProof/>
              </w:rPr>
              <w:drawing>
                <wp:anchor distT="114300" distB="114300" distL="114300" distR="114300" simplePos="0" relativeHeight="251657216" behindDoc="0" locked="0" layoutInCell="1" hidden="0" allowOverlap="1">
                  <wp:simplePos x="0" y="0"/>
                  <wp:positionH relativeFrom="margin">
                    <wp:posOffset>114300</wp:posOffset>
                  </wp:positionH>
                  <wp:positionV relativeFrom="paragraph">
                    <wp:posOffset>133350</wp:posOffset>
                  </wp:positionV>
                  <wp:extent cx="876895" cy="1297602"/>
                  <wp:effectExtent l="0" t="0" r="0" b="0"/>
                  <wp:wrapSquare wrapText="bothSides" distT="114300" distB="11430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876895" cy="1297602"/>
                          </a:xfrm>
                          <a:prstGeom prst="rect">
                            <a:avLst/>
                          </a:prstGeom>
                          <a:ln/>
                        </pic:spPr>
                      </pic:pic>
                    </a:graphicData>
                  </a:graphic>
                </wp:anchor>
              </w:drawing>
            </w:r>
          </w:p>
          <w:p w:rsidR="008E7BF6" w:rsidRDefault="008E7BF6">
            <w:pPr>
              <w:jc w:val="both"/>
              <w:rPr>
                <w:sz w:val="16"/>
                <w:szCs w:val="16"/>
              </w:rPr>
            </w:pPr>
          </w:p>
          <w:p w:rsidR="008E7BF6" w:rsidRDefault="00861EF8">
            <w:pPr>
              <w:jc w:val="both"/>
            </w:pPr>
            <w:r>
              <w:rPr>
                <w:b/>
                <w:sz w:val="24"/>
                <w:szCs w:val="24"/>
              </w:rPr>
              <w:t>Who should attend</w:t>
            </w:r>
            <w:r>
              <w:rPr>
                <w:sz w:val="24"/>
                <w:szCs w:val="24"/>
              </w:rPr>
              <w:t xml:space="preserve">: </w:t>
            </w:r>
            <w:r>
              <w:t xml:space="preserve"> Administrators</w:t>
            </w:r>
            <w:r>
              <w:rPr>
                <w:b/>
              </w:rPr>
              <w:t xml:space="preserve">, </w:t>
            </w:r>
            <w:r>
              <w:t>general education teachers, specialist teachers, family members</w:t>
            </w:r>
            <w:r>
              <w:rPr>
                <w:b/>
              </w:rPr>
              <w:t xml:space="preserve">, </w:t>
            </w:r>
            <w:r>
              <w:t>paraprofessionals</w:t>
            </w:r>
            <w:r>
              <w:rPr>
                <w:b/>
              </w:rPr>
              <w:t xml:space="preserve">, </w:t>
            </w:r>
            <w:r>
              <w:t>special education professionals</w:t>
            </w:r>
            <w:r>
              <w:rPr>
                <w:b/>
              </w:rPr>
              <w:t xml:space="preserve">, </w:t>
            </w:r>
            <w:r>
              <w:t>and related service providers</w:t>
            </w:r>
          </w:p>
          <w:p w:rsidR="008E7BF6" w:rsidRDefault="008E7BF6">
            <w:pPr>
              <w:jc w:val="both"/>
              <w:rPr>
                <w:sz w:val="16"/>
                <w:szCs w:val="16"/>
              </w:rPr>
            </w:pPr>
          </w:p>
          <w:p w:rsidR="008E7BF6" w:rsidRDefault="00861EF8">
            <w:pPr>
              <w:pBdr>
                <w:top w:val="nil"/>
                <w:left w:val="nil"/>
                <w:bottom w:val="nil"/>
                <w:right w:val="nil"/>
                <w:between w:val="nil"/>
              </w:pBdr>
              <w:jc w:val="both"/>
              <w:rPr>
                <w:b/>
                <w:color w:val="000000"/>
                <w:sz w:val="28"/>
                <w:szCs w:val="28"/>
              </w:rPr>
            </w:pPr>
            <w:r>
              <w:rPr>
                <w:b/>
                <w:color w:val="000000"/>
                <w:sz w:val="28"/>
                <w:szCs w:val="28"/>
              </w:rPr>
              <w:t xml:space="preserve">Register: </w:t>
            </w:r>
          </w:p>
          <w:p w:rsidR="00E2045B" w:rsidRDefault="00E2045B">
            <w:pPr>
              <w:pBdr>
                <w:top w:val="nil"/>
                <w:left w:val="nil"/>
                <w:bottom w:val="nil"/>
                <w:right w:val="nil"/>
                <w:between w:val="nil"/>
              </w:pBdr>
              <w:jc w:val="both"/>
              <w:rPr>
                <w:color w:val="000000"/>
                <w:sz w:val="28"/>
                <w:szCs w:val="28"/>
                <w:highlight w:val="white"/>
              </w:rPr>
            </w:pPr>
          </w:p>
          <w:p w:rsidR="008E7BF6" w:rsidRDefault="007D73CF">
            <w:pPr>
              <w:jc w:val="both"/>
              <w:rPr>
                <w:color w:val="0000FF"/>
                <w:sz w:val="28"/>
                <w:szCs w:val="28"/>
                <w:u w:val="single"/>
              </w:rPr>
            </w:pPr>
            <w:hyperlink r:id="rId8">
              <w:r w:rsidR="00861EF8">
                <w:rPr>
                  <w:color w:val="0000FF"/>
                  <w:sz w:val="28"/>
                  <w:szCs w:val="28"/>
                  <w:u w:val="single"/>
                </w:rPr>
                <w:t>https://www.surveymonkey.com/r/SJV3TPS</w:t>
              </w:r>
            </w:hyperlink>
          </w:p>
          <w:p w:rsidR="008E7BF6" w:rsidRDefault="008E7BF6">
            <w:pPr>
              <w:pBdr>
                <w:top w:val="nil"/>
                <w:left w:val="nil"/>
                <w:bottom w:val="nil"/>
                <w:right w:val="nil"/>
                <w:between w:val="nil"/>
              </w:pBdr>
              <w:jc w:val="both"/>
              <w:rPr>
                <w:color w:val="0000FF"/>
                <w:sz w:val="12"/>
                <w:szCs w:val="12"/>
                <w:u w:val="single"/>
              </w:rPr>
            </w:pPr>
          </w:p>
        </w:tc>
      </w:tr>
    </w:tbl>
    <w:p w:rsidR="008E7BF6" w:rsidRDefault="008E7BF6"/>
    <w:sectPr w:rsidR="008E7BF6">
      <w:headerReference w:type="default" r:id="rId9"/>
      <w:footerReference w:type="default" r:id="rId10"/>
      <w:headerReference w:type="first" r:id="rId11"/>
      <w:footerReference w:type="first" r:id="rId12"/>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3CF" w:rsidRDefault="007D73CF">
      <w:pPr>
        <w:spacing w:after="0" w:line="240" w:lineRule="auto"/>
      </w:pPr>
      <w:r>
        <w:separator/>
      </w:r>
    </w:p>
  </w:endnote>
  <w:endnote w:type="continuationSeparator" w:id="0">
    <w:p w:rsidR="007D73CF" w:rsidRDefault="007D7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BF6" w:rsidRDefault="008E7BF6">
    <w:pPr>
      <w:pBdr>
        <w:top w:val="nil"/>
        <w:left w:val="nil"/>
        <w:bottom w:val="nil"/>
        <w:right w:val="nil"/>
        <w:between w:val="nil"/>
      </w:pBdr>
      <w:tabs>
        <w:tab w:val="center" w:pos="4680"/>
        <w:tab w:val="right" w:pos="9360"/>
      </w:tabs>
      <w:spacing w:after="0" w:line="240" w:lineRule="auto"/>
      <w:jc w:val="both"/>
      <w:rPr>
        <w:color w:val="000000"/>
        <w:sz w:val="16"/>
        <w:szCs w:val="16"/>
      </w:rPr>
    </w:pPr>
  </w:p>
  <w:p w:rsidR="008E7BF6" w:rsidRDefault="008E7BF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BF6" w:rsidRDefault="00861EF8">
    <w:pPr>
      <w:widowControl w:val="0"/>
      <w:spacing w:after="0" w:line="240" w:lineRule="auto"/>
      <w:rPr>
        <w:rFonts w:ascii="Century Gothic" w:eastAsia="Century Gothic" w:hAnsi="Century Gothic" w:cs="Century Gothic"/>
        <w:sz w:val="12"/>
        <w:szCs w:val="12"/>
      </w:rPr>
    </w:pPr>
    <w:r>
      <w:rPr>
        <w:rFonts w:ascii="Century Gothic" w:eastAsia="Century Gothic" w:hAnsi="Century Gothic" w:cs="Century Gothic"/>
        <w:sz w:val="12"/>
        <w:szCs w:val="12"/>
      </w:rPr>
      <w:t>This material was developed under a grant from the Colorado Department of Education. The content does not necessarily represent the policy of the U.S. Department of Education, and you should not assume endorsement by the Federal Government.</w:t>
    </w:r>
  </w:p>
  <w:p w:rsidR="008E7BF6" w:rsidRDefault="008E7BF6">
    <w:pPr>
      <w:widowControl w:val="0"/>
      <w:spacing w:after="0" w:line="240" w:lineRule="auto"/>
      <w:rPr>
        <w:rFonts w:ascii="Century Gothic" w:eastAsia="Century Gothic" w:hAnsi="Century Gothic" w:cs="Century Gothic"/>
        <w:sz w:val="12"/>
        <w:szCs w:val="12"/>
      </w:rPr>
    </w:pPr>
  </w:p>
  <w:p w:rsidR="008E7BF6" w:rsidRDefault="00861EF8">
    <w:pPr>
      <w:widowControl w:val="0"/>
      <w:spacing w:after="0" w:line="240" w:lineRule="auto"/>
      <w:rPr>
        <w:rFonts w:ascii="Century Gothic" w:eastAsia="Century Gothic" w:hAnsi="Century Gothic" w:cs="Century Gothic"/>
        <w:sz w:val="12"/>
        <w:szCs w:val="12"/>
      </w:rPr>
    </w:pPr>
    <w:r>
      <w:rPr>
        <w:rFonts w:ascii="Century Gothic" w:eastAsia="Century Gothic" w:hAnsi="Century Gothic" w:cs="Century Gothic"/>
        <w:sz w:val="12"/>
        <w:szCs w:val="12"/>
      </w:rPr>
      <w:t>The content of this material was developed under an agreement from the Federal Department of Education to the Kansas Department of Education.  However, those contents do not necessarily represent the policy of the Department of Education, and you should not assume endorsement by the Kansas Department of Education or the Federal Government TASN Autism and Tertiary Behavior Supports does not discriminate on the basis of race, color, national origin, sex, disability, or age in its programs and activities.  The following person has been designated to handle inquiries regarding the non-discrimination policies:  Deputy Director, Keystone Learning Services, 500 E. Sunflower, Ozawkie, KS  66070, </w:t>
    </w:r>
    <w:hyperlink r:id="rId1">
      <w:r>
        <w:rPr>
          <w:rFonts w:ascii="Century Gothic" w:eastAsia="Century Gothic" w:hAnsi="Century Gothic" w:cs="Century Gothic"/>
          <w:color w:val="0000FF"/>
          <w:sz w:val="12"/>
          <w:szCs w:val="12"/>
          <w:u w:val="single"/>
        </w:rPr>
        <w:t>785-876-2214</w:t>
      </w:r>
    </w:hyperlink>
    <w:r>
      <w:rPr>
        <w:rFonts w:ascii="Century Gothic" w:eastAsia="Century Gothic" w:hAnsi="Century Gothic" w:cs="Century Gothic"/>
        <w:sz w:val="12"/>
        <w:szCs w:val="12"/>
      </w:rPr>
      <w:t>.</w:t>
    </w:r>
  </w:p>
  <w:p w:rsidR="008E7BF6" w:rsidRDefault="008E7BF6">
    <w:pPr>
      <w:widowControl w:val="0"/>
      <w:spacing w:after="0" w:line="240" w:lineRule="auto"/>
      <w:rPr>
        <w:rFonts w:ascii="Century Gothic" w:eastAsia="Century Gothic" w:hAnsi="Century Gothic" w:cs="Century Gothic"/>
        <w:sz w:val="12"/>
        <w:szCs w:val="12"/>
      </w:rPr>
    </w:pPr>
  </w:p>
  <w:p w:rsidR="008E7BF6" w:rsidRDefault="00861EF8">
    <w:pPr>
      <w:pBdr>
        <w:top w:val="nil"/>
        <w:left w:val="nil"/>
        <w:bottom w:val="nil"/>
        <w:right w:val="nil"/>
        <w:between w:val="nil"/>
      </w:pBdr>
      <w:tabs>
        <w:tab w:val="center" w:pos="4680"/>
        <w:tab w:val="right" w:pos="9360"/>
      </w:tabs>
      <w:spacing w:after="0" w:line="240" w:lineRule="auto"/>
      <w:rPr>
        <w:color w:val="000000"/>
      </w:rPr>
    </w:pPr>
    <w:r>
      <w:rPr>
        <w:rFonts w:ascii="Century Gothic" w:eastAsia="Century Gothic" w:hAnsi="Century Gothic" w:cs="Century Gothic"/>
        <w:color w:val="000000"/>
        <w:sz w:val="12"/>
        <w:szCs w:val="12"/>
      </w:rPr>
      <w:t>The contents of this material was developed under a grant from the Nebraska Department of Education, IDEA parts B and C from the U.S. Department of Education. However, this content does not necessarily represent the policy of the U.S. Department of Education and you should not assume endorsement by the Federal Government.</w:t>
    </w:r>
  </w:p>
  <w:p w:rsidR="008E7BF6" w:rsidRDefault="008E7BF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3CF" w:rsidRDefault="007D73CF">
      <w:pPr>
        <w:spacing w:after="0" w:line="240" w:lineRule="auto"/>
      </w:pPr>
      <w:r>
        <w:separator/>
      </w:r>
    </w:p>
  </w:footnote>
  <w:footnote w:type="continuationSeparator" w:id="0">
    <w:p w:rsidR="007D73CF" w:rsidRDefault="007D7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BF6" w:rsidRDefault="008E7BF6">
    <w:pPr>
      <w:pBdr>
        <w:top w:val="nil"/>
        <w:left w:val="nil"/>
        <w:bottom w:val="nil"/>
        <w:right w:val="nil"/>
        <w:between w:val="nil"/>
      </w:pBdr>
      <w:tabs>
        <w:tab w:val="center" w:pos="4680"/>
        <w:tab w:val="right" w:pos="9360"/>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BF6" w:rsidRDefault="008E7BF6">
    <w:pPr>
      <w:widowControl w:val="0"/>
      <w:pBdr>
        <w:top w:val="nil"/>
        <w:left w:val="nil"/>
        <w:bottom w:val="nil"/>
        <w:right w:val="nil"/>
        <w:between w:val="nil"/>
      </w:pBdr>
      <w:spacing w:after="0"/>
      <w:rPr>
        <w:color w:val="000000"/>
      </w:rPr>
    </w:pPr>
  </w:p>
  <w:tbl>
    <w:tblPr>
      <w:tblStyle w:val="a0"/>
      <w:tblW w:w="10800" w:type="dxa"/>
      <w:tblBorders>
        <w:top w:val="nil"/>
        <w:left w:val="nil"/>
        <w:bottom w:val="nil"/>
        <w:right w:val="nil"/>
        <w:insideH w:val="nil"/>
        <w:insideV w:val="nil"/>
      </w:tblBorders>
      <w:tblLayout w:type="fixed"/>
      <w:tblLook w:val="0400" w:firstRow="0" w:lastRow="0" w:firstColumn="0" w:lastColumn="0" w:noHBand="0" w:noVBand="1"/>
    </w:tblPr>
    <w:tblGrid>
      <w:gridCol w:w="3070"/>
      <w:gridCol w:w="7730"/>
    </w:tblGrid>
    <w:tr w:rsidR="008E7BF6">
      <w:tc>
        <w:tcPr>
          <w:tcW w:w="3070" w:type="dxa"/>
        </w:tcPr>
        <w:p w:rsidR="008E7BF6" w:rsidRDefault="00861EF8">
          <w:pPr>
            <w:pBdr>
              <w:top w:val="nil"/>
              <w:left w:val="nil"/>
              <w:bottom w:val="nil"/>
              <w:right w:val="nil"/>
              <w:between w:val="nil"/>
            </w:pBdr>
            <w:tabs>
              <w:tab w:val="center" w:pos="4680"/>
              <w:tab w:val="right" w:pos="9360"/>
            </w:tabs>
            <w:rPr>
              <w:color w:val="000000"/>
            </w:rPr>
          </w:pPr>
          <w:r>
            <w:rPr>
              <w:noProof/>
              <w:color w:val="000000"/>
            </w:rPr>
            <w:drawing>
              <wp:inline distT="0" distB="0" distL="0" distR="0">
                <wp:extent cx="1528763" cy="1528763"/>
                <wp:effectExtent l="0" t="0" r="0" b="0"/>
                <wp:docPr id="2" name="image5.png" descr="C:\Users\tswanson\Downloads\TriStateAutismCollaborative_Logo_072215.png"/>
                <wp:cNvGraphicFramePr/>
                <a:graphic xmlns:a="http://schemas.openxmlformats.org/drawingml/2006/main">
                  <a:graphicData uri="http://schemas.openxmlformats.org/drawingml/2006/picture">
                    <pic:pic xmlns:pic="http://schemas.openxmlformats.org/drawingml/2006/picture">
                      <pic:nvPicPr>
                        <pic:cNvPr id="0" name="image5.png" descr="C:\Users\tswanson\Downloads\TriStateAutismCollaborative_Logo_072215.png"/>
                        <pic:cNvPicPr preferRelativeResize="0"/>
                      </pic:nvPicPr>
                      <pic:blipFill>
                        <a:blip r:embed="rId1"/>
                        <a:srcRect/>
                        <a:stretch>
                          <a:fillRect/>
                        </a:stretch>
                      </pic:blipFill>
                      <pic:spPr>
                        <a:xfrm>
                          <a:off x="0" y="0"/>
                          <a:ext cx="1528763" cy="1528763"/>
                        </a:xfrm>
                        <a:prstGeom prst="rect">
                          <a:avLst/>
                        </a:prstGeom>
                        <a:ln/>
                      </pic:spPr>
                    </pic:pic>
                  </a:graphicData>
                </a:graphic>
              </wp:inline>
            </w:drawing>
          </w:r>
        </w:p>
      </w:tc>
      <w:tc>
        <w:tcPr>
          <w:tcW w:w="7730" w:type="dxa"/>
        </w:tcPr>
        <w:p w:rsidR="008E7BF6" w:rsidRDefault="00861EF8">
          <w:pPr>
            <w:jc w:val="center"/>
            <w:rPr>
              <w:sz w:val="32"/>
              <w:szCs w:val="32"/>
            </w:rPr>
          </w:pPr>
          <w:r>
            <w:rPr>
              <w:sz w:val="32"/>
              <w:szCs w:val="32"/>
            </w:rPr>
            <w:t xml:space="preserve">Connecting Verbal Behavior Programs with </w:t>
          </w:r>
        </w:p>
        <w:p w:rsidR="008E7BF6" w:rsidRDefault="00861EF8">
          <w:pPr>
            <w:jc w:val="center"/>
            <w:rPr>
              <w:sz w:val="32"/>
              <w:szCs w:val="32"/>
            </w:rPr>
          </w:pPr>
          <w:r>
            <w:rPr>
              <w:sz w:val="32"/>
              <w:szCs w:val="32"/>
            </w:rPr>
            <w:t xml:space="preserve">Functional Living Skills from the </w:t>
          </w:r>
        </w:p>
        <w:p w:rsidR="008E7BF6" w:rsidRDefault="00861EF8">
          <w:pPr>
            <w:jc w:val="center"/>
            <w:rPr>
              <w:color w:val="000000"/>
              <w:sz w:val="32"/>
              <w:szCs w:val="32"/>
            </w:rPr>
          </w:pPr>
          <w:r>
            <w:rPr>
              <w:sz w:val="32"/>
              <w:szCs w:val="32"/>
            </w:rPr>
            <w:t>AFLS (Assessment of Functional Living Skills)</w:t>
          </w:r>
          <w:r>
            <w:rPr>
              <w:color w:val="000000"/>
              <w:sz w:val="32"/>
              <w:szCs w:val="32"/>
            </w:rPr>
            <w:t xml:space="preserve"> Part 1</w:t>
          </w:r>
        </w:p>
        <w:p w:rsidR="008E7BF6" w:rsidRDefault="008E7BF6">
          <w:pPr>
            <w:jc w:val="center"/>
            <w:rPr>
              <w:b/>
              <w:i/>
              <w:sz w:val="18"/>
              <w:szCs w:val="18"/>
            </w:rPr>
          </w:pPr>
        </w:p>
        <w:p w:rsidR="008E7BF6" w:rsidRDefault="00861EF8">
          <w:pPr>
            <w:jc w:val="center"/>
            <w:rPr>
              <w:color w:val="000000"/>
              <w:sz w:val="28"/>
              <w:szCs w:val="28"/>
            </w:rPr>
          </w:pPr>
          <w:r>
            <w:rPr>
              <w:color w:val="000000"/>
              <w:sz w:val="28"/>
              <w:szCs w:val="28"/>
            </w:rPr>
            <w:t xml:space="preserve">Deb </w:t>
          </w:r>
          <w:proofErr w:type="spellStart"/>
          <w:r>
            <w:rPr>
              <w:color w:val="000000"/>
              <w:sz w:val="28"/>
              <w:szCs w:val="28"/>
            </w:rPr>
            <w:t>Rauner</w:t>
          </w:r>
          <w:proofErr w:type="spellEnd"/>
          <w:r>
            <w:rPr>
              <w:color w:val="000000"/>
              <w:sz w:val="28"/>
              <w:szCs w:val="28"/>
            </w:rPr>
            <w:t xml:space="preserve">, </w:t>
          </w:r>
          <w:proofErr w:type="spellStart"/>
          <w:r>
            <w:rPr>
              <w:color w:val="000000"/>
              <w:sz w:val="28"/>
              <w:szCs w:val="28"/>
            </w:rPr>
            <w:t>M.Ed</w:t>
          </w:r>
          <w:proofErr w:type="spellEnd"/>
        </w:p>
        <w:p w:rsidR="008E7BF6" w:rsidRDefault="008E7BF6">
          <w:pPr>
            <w:pBdr>
              <w:top w:val="nil"/>
              <w:left w:val="nil"/>
              <w:bottom w:val="nil"/>
              <w:right w:val="nil"/>
              <w:between w:val="nil"/>
            </w:pBdr>
            <w:tabs>
              <w:tab w:val="center" w:pos="4680"/>
              <w:tab w:val="right" w:pos="9360"/>
            </w:tabs>
            <w:rPr>
              <w:color w:val="000000"/>
              <w:sz w:val="24"/>
              <w:szCs w:val="24"/>
            </w:rPr>
          </w:pPr>
        </w:p>
        <w:p w:rsidR="008E7BF6" w:rsidRDefault="00861EF8">
          <w:pPr>
            <w:pBdr>
              <w:top w:val="nil"/>
              <w:left w:val="nil"/>
              <w:bottom w:val="nil"/>
              <w:right w:val="nil"/>
              <w:between w:val="nil"/>
            </w:pBdr>
            <w:tabs>
              <w:tab w:val="center" w:pos="4680"/>
              <w:tab w:val="right" w:pos="9360"/>
            </w:tabs>
            <w:jc w:val="center"/>
            <w:rPr>
              <w:color w:val="000000"/>
              <w:sz w:val="28"/>
              <w:szCs w:val="28"/>
            </w:rPr>
          </w:pPr>
          <w:r>
            <w:rPr>
              <w:color w:val="000000"/>
              <w:sz w:val="28"/>
              <w:szCs w:val="28"/>
            </w:rPr>
            <w:t>January 16</w:t>
          </w:r>
          <w:r>
            <w:rPr>
              <w:color w:val="000000"/>
              <w:sz w:val="28"/>
              <w:szCs w:val="28"/>
              <w:vertAlign w:val="superscript"/>
            </w:rPr>
            <w:t>th</w:t>
          </w:r>
          <w:r>
            <w:rPr>
              <w:color w:val="000000"/>
              <w:sz w:val="28"/>
              <w:szCs w:val="28"/>
            </w:rPr>
            <w:t>, 2019</w:t>
          </w:r>
        </w:p>
        <w:p w:rsidR="008E7BF6" w:rsidRDefault="00861EF8">
          <w:pPr>
            <w:pBdr>
              <w:top w:val="nil"/>
              <w:left w:val="nil"/>
              <w:bottom w:val="nil"/>
              <w:right w:val="nil"/>
              <w:between w:val="nil"/>
            </w:pBdr>
            <w:tabs>
              <w:tab w:val="center" w:pos="4680"/>
              <w:tab w:val="right" w:pos="9360"/>
            </w:tabs>
            <w:jc w:val="center"/>
            <w:rPr>
              <w:color w:val="000000"/>
              <w:sz w:val="38"/>
              <w:szCs w:val="38"/>
            </w:rPr>
          </w:pPr>
          <w:r>
            <w:rPr>
              <w:color w:val="000000"/>
              <w:sz w:val="28"/>
              <w:szCs w:val="28"/>
            </w:rPr>
            <w:t>From 3:30 – 4:15 pm CT/2:30 -3:15 pm MT</w:t>
          </w:r>
        </w:p>
      </w:tc>
    </w:tr>
  </w:tbl>
  <w:p w:rsidR="008E7BF6" w:rsidRDefault="008E7BF6">
    <w:pPr>
      <w:spacing w:after="0" w:line="240" w:lineRule="aut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52562"/>
    <w:multiLevelType w:val="multilevel"/>
    <w:tmpl w:val="C3FE9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BF6"/>
    <w:rsid w:val="007D73CF"/>
    <w:rsid w:val="00861EF8"/>
    <w:rsid w:val="008E7BF6"/>
    <w:rsid w:val="00BE2513"/>
    <w:rsid w:val="00E20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BCF5865F-660C-5341-953D-A0F3E2A9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100" w:after="100"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BE2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513"/>
  </w:style>
  <w:style w:type="paragraph" w:styleId="Footer">
    <w:name w:val="footer"/>
    <w:basedOn w:val="Normal"/>
    <w:link w:val="FooterChar"/>
    <w:uiPriority w:val="99"/>
    <w:unhideWhenUsed/>
    <w:rsid w:val="00BE2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urveymonkey.com/r/SJV3TP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1793</Characters>
  <Application>Microsoft Office Word</Application>
  <DocSecurity>0</DocSecurity>
  <Lines>38</Lines>
  <Paragraphs>20</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2018-07-27T23:24:00Z</dcterms:created>
  <dcterms:modified xsi:type="dcterms:W3CDTF">2018-07-30T19:18:00Z</dcterms:modified>
</cp:coreProperties>
</file>