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drawing>
          <wp:inline distB="182880" distT="0" distL="182880" distR="182880">
            <wp:extent cx="2197100" cy="220345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197100" cy="2203450"/>
                    </a:xfrm>
                    <a:prstGeom prst="rect"/>
                    <a:ln/>
                  </pic:spPr>
                </pic:pic>
              </a:graphicData>
            </a:graphic>
          </wp:inline>
        </w:drawing>
      </w:r>
      <w:r w:rsidDel="00000000" w:rsidR="00000000" w:rsidRPr="00000000">
        <w:rPr>
          <w:rtl w:val="0"/>
        </w:rPr>
      </w:r>
    </w:p>
    <w:p w:rsidR="00000000" w:rsidDel="00000000" w:rsidP="00000000" w:rsidRDefault="00000000" w:rsidRPr="00000000">
      <w:pPr>
        <w:keepNext w:val="1"/>
        <w:spacing w:after="0" w:before="0" w:line="240" w:lineRule="auto"/>
        <w:contextualSpacing w:val="0"/>
        <w:jc w:val="center"/>
      </w:pPr>
      <w:r w:rsidDel="00000000" w:rsidR="00000000" w:rsidRPr="00000000">
        <w:rPr>
          <w:rtl w:val="0"/>
        </w:rPr>
      </w:r>
    </w:p>
    <w:p w:rsidR="00000000" w:rsidDel="00000000" w:rsidP="00000000" w:rsidRDefault="00000000" w:rsidRPr="00000000">
      <w:pPr>
        <w:keepNext w:val="1"/>
        <w:spacing w:after="0" w:before="0" w:line="240" w:lineRule="auto"/>
        <w:contextualSpacing w:val="0"/>
        <w:jc w:val="center"/>
      </w:pPr>
      <w:r w:rsidDel="00000000" w:rsidR="00000000" w:rsidRPr="00000000">
        <w:rPr>
          <w:rFonts w:ascii="Trebuchet MS" w:cs="Trebuchet MS" w:eastAsia="Trebuchet MS" w:hAnsi="Trebuchet MS"/>
          <w:b w:val="1"/>
          <w:sz w:val="32"/>
          <w:szCs w:val="32"/>
          <w:vertAlign w:val="baseline"/>
          <w:rtl w:val="0"/>
        </w:rPr>
        <w:t xml:space="preserve">LEARNER OBJECTIVES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vertAlign w:val="baseline"/>
          <w:rtl w:val="0"/>
        </w:rPr>
        <w:t xml:space="preserve">WEBINAR –</w:t>
      </w:r>
      <w:r w:rsidDel="00000000" w:rsidR="00000000" w:rsidRPr="00000000">
        <w:rPr>
          <w:vertAlign w:val="baseline"/>
          <w:rtl w:val="0"/>
        </w:rPr>
        <w:t xml:space="preserve"> </w:t>
      </w:r>
      <w:r w:rsidDel="00000000" w:rsidR="00000000" w:rsidRPr="00000000">
        <w:rPr>
          <w:rFonts w:ascii="Calibri" w:cs="Calibri" w:eastAsia="Calibri" w:hAnsi="Calibri"/>
          <w:sz w:val="36"/>
          <w:szCs w:val="36"/>
          <w:u w:val="single"/>
          <w:vertAlign w:val="baseline"/>
          <w:rtl w:val="0"/>
        </w:rPr>
        <w:t xml:space="preserve">Assessments and Curriculum Guides for</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sz w:val="36"/>
          <w:szCs w:val="36"/>
          <w:u w:val="single"/>
          <w:vertAlign w:val="baseline"/>
          <w:rtl w:val="0"/>
        </w:rPr>
        <w:t xml:space="preserve">Secondary Students with ASD</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120" w:lineRule="auto"/>
        <w:contextualSpacing w:val="0"/>
      </w:pPr>
      <w:r w:rsidDel="00000000" w:rsidR="00000000" w:rsidRPr="00000000">
        <w:rPr>
          <w:rFonts w:ascii="Calibri" w:cs="Calibri" w:eastAsia="Calibri" w:hAnsi="Calibri"/>
          <w:sz w:val="36"/>
          <w:szCs w:val="36"/>
          <w:vertAlign w:val="baseline"/>
          <w:rtl w:val="0"/>
        </w:rPr>
        <w:t xml:space="preserve">At the end of this webinar, participants will be able to: </w:t>
      </w:r>
      <w:r w:rsidDel="00000000" w:rsidR="00000000" w:rsidRPr="00000000">
        <w:rPr>
          <w:rtl w:val="0"/>
        </w:rPr>
      </w:r>
    </w:p>
    <w:p w:rsidR="00000000" w:rsidDel="00000000" w:rsidP="00000000" w:rsidRDefault="00000000" w:rsidRPr="00000000">
      <w:pPr>
        <w:numPr>
          <w:ilvl w:val="0"/>
          <w:numId w:val="1"/>
        </w:numPr>
        <w:spacing w:before="120" w:lineRule="auto"/>
        <w:ind w:left="720" w:hanging="360"/>
        <w:rPr>
          <w:b w:val="0"/>
          <w:sz w:val="30"/>
          <w:szCs w:val="30"/>
        </w:rPr>
      </w:pPr>
      <w:r w:rsidDel="00000000" w:rsidR="00000000" w:rsidRPr="00000000">
        <w:rPr>
          <w:rFonts w:ascii="Calibri" w:cs="Calibri" w:eastAsia="Calibri" w:hAnsi="Calibri"/>
          <w:sz w:val="36"/>
          <w:szCs w:val="36"/>
          <w:vertAlign w:val="baseline"/>
          <w:rtl w:val="0"/>
        </w:rPr>
        <w:t xml:space="preserve">Identify several assessments and curriculum guides that will assist with the development of age appropriate goals and objectives for middle and high school, and transition students with ASD.</w:t>
      </w:r>
      <w:r w:rsidDel="00000000" w:rsidR="00000000" w:rsidRPr="00000000">
        <w:rPr>
          <w:rtl w:val="0"/>
        </w:rPr>
      </w:r>
    </w:p>
    <w:p w:rsidR="00000000" w:rsidDel="00000000" w:rsidP="00000000" w:rsidRDefault="00000000" w:rsidRPr="00000000">
      <w:pPr>
        <w:numPr>
          <w:ilvl w:val="0"/>
          <w:numId w:val="1"/>
        </w:numPr>
        <w:spacing w:before="120" w:lineRule="auto"/>
        <w:ind w:left="720" w:hanging="360"/>
        <w:rPr>
          <w:b w:val="0"/>
          <w:sz w:val="30"/>
          <w:szCs w:val="30"/>
        </w:rPr>
      </w:pPr>
      <w:r w:rsidDel="00000000" w:rsidR="00000000" w:rsidRPr="00000000">
        <w:rPr>
          <w:rFonts w:ascii="Quattrocento" w:cs="Quattrocento" w:eastAsia="Quattrocento" w:hAnsi="Quattrocento"/>
          <w:sz w:val="30"/>
          <w:szCs w:val="30"/>
          <w:vertAlign w:val="baseline"/>
          <w:rtl w:val="0"/>
        </w:rPr>
        <w:t xml:space="preserve">Identify several priorities of instruction for secondary students with ASD.</w:t>
      </w:r>
      <w:r w:rsidDel="00000000" w:rsidR="00000000" w:rsidRPr="00000000">
        <w:rPr>
          <w:rtl w:val="0"/>
        </w:rPr>
      </w:r>
    </w:p>
    <w:p w:rsidR="00000000" w:rsidDel="00000000" w:rsidP="00000000" w:rsidRDefault="00000000" w:rsidRPr="00000000">
      <w:pPr>
        <w:numPr>
          <w:ilvl w:val="0"/>
          <w:numId w:val="1"/>
        </w:numPr>
        <w:spacing w:before="120" w:lineRule="auto"/>
        <w:ind w:left="720" w:hanging="360"/>
        <w:rPr>
          <w:b w:val="0"/>
          <w:sz w:val="30"/>
          <w:szCs w:val="30"/>
        </w:rPr>
      </w:pPr>
      <w:r w:rsidDel="00000000" w:rsidR="00000000" w:rsidRPr="00000000">
        <w:rPr>
          <w:rFonts w:ascii="Quattrocento" w:cs="Quattrocento" w:eastAsia="Quattrocento" w:hAnsi="Quattrocento"/>
          <w:sz w:val="30"/>
          <w:szCs w:val="30"/>
          <w:vertAlign w:val="baseline"/>
          <w:rtl w:val="0"/>
        </w:rPr>
        <w:t xml:space="preserve">Identify a variety of specific skills to target within in each assessment or curriculum guide.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32"/>
          <w:szCs w:val="32"/>
          <w:vertAlign w:val="baseline"/>
          <w:rtl w:val="0"/>
        </w:rPr>
        <w:tab/>
      </w:r>
      <w:r w:rsidDel="00000000" w:rsidR="00000000" w:rsidRPr="00000000">
        <w:rPr>
          <w:rtl w:val="0"/>
        </w:rPr>
      </w:r>
    </w:p>
    <w:sectPr>
      <w:headerReference r:id="rId6" w:type="default"/>
      <w:footerReference r:id="rId7" w:type="default"/>
      <w:pgSz w:h="15840" w:w="12240"/>
      <w:pgMar w:bottom="1008" w:top="1008"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Trebuchet MS"/>
  <w:font w:name="Calibri"/>
  <w:font w:name="Arial"/>
  <w:font w:name="Quattrocent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16"/>
        <w:szCs w:val="16"/>
        <w:vertAlign w:val="baseline"/>
        <w:rtl w:val="0"/>
      </w:rPr>
      <w:t xml:space="preserve">This material was developed under a grant from the Colorado Department of Education.  The content does not necessarily represent the policy of the U.S. Department of Education, and you should not assume endorsement by the Federal Government.</w:t>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16"/>
        <w:szCs w:val="16"/>
        <w:vertAlign w:val="baseline"/>
        <w:rtl w:val="0"/>
      </w:rPr>
      <w:t xml:space="preserve">The content of this material was developed under an agreement from the Federal Department of Education to the Kansas Department of Education.  However, those contents do not necessarily represent the policy of the Department of Education, and you should not assume endorsement by the Kansas Department of Education or the Federal Government. TASN Autism and Tertiary Behavior Supports does not discriminate on the basis of race, color, national origin, sex, disability, or age in its programs and activities.  The following person has been designated to handle inquiries regarding the non-discrimination policies:  Deputy Director, Keystone Learning Services, 500 E. Sunflower, Ozawkie, KS  66070, </w:t>
    </w:r>
    <w:r w:rsidDel="00000000" w:rsidR="00000000" w:rsidRPr="00000000">
      <w:rPr>
        <w:rFonts w:ascii="Times New Roman" w:cs="Times New Roman" w:eastAsia="Times New Roman" w:hAnsi="Times New Roman"/>
        <w:b w:val="0"/>
        <w:color w:val="0000ff"/>
        <w:sz w:val="16"/>
        <w:szCs w:val="16"/>
        <w:u w:val="single"/>
        <w:vertAlign w:val="baseline"/>
        <w:rtl w:val="0"/>
      </w:rPr>
      <w:t xml:space="preserve">785-876-2214</w:t>
    </w:r>
    <w:r w:rsidDel="00000000" w:rsidR="00000000" w:rsidRPr="00000000">
      <w:rPr>
        <w:rFonts w:ascii="Times New Roman" w:cs="Times New Roman" w:eastAsia="Times New Roman" w:hAnsi="Times New Roman"/>
        <w:b w:val="0"/>
        <w:sz w:val="16"/>
        <w:szCs w:val="16"/>
        <w:vertAlign w:val="baseline"/>
        <w:rtl w:val="0"/>
      </w:rPr>
      <w:t xml:space="preserve">.</w:t>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16"/>
        <w:szCs w:val="16"/>
        <w:vertAlign w:val="baseline"/>
        <w:rtl w:val="0"/>
      </w:rPr>
      <w:t xml:space="preserve">The contents of this power point presentation were developed under a grant from the Nebraska Department of Education, IDEA parts B and C from the U.S. Department of Education.  However, this content does not necessarily represent the policy of the U.S. Department of Education and you should not assume endorsement by the Federal Government.</w:t>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1440" w:line="240" w:lineRule="auto"/>
      <w:contextualSpacing w:val="0"/>
      <w:jc w:val="cente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0"/>
      <w:sz w:val="24"/>
      <w:szCs w:val="24"/>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keepLines w:val="1"/>
      <w:spacing w:after="0" w:before="0" w:line="240" w:lineRule="auto"/>
      <w:jc w:val="both"/>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keepLines w:val="1"/>
      <w:spacing w:after="0" w:before="0" w:line="240" w:lineRule="auto"/>
    </w:pPr>
    <w:rPr>
      <w:rFonts w:ascii="Times New Roman" w:cs="Times New Roman" w:eastAsia="Times New Roman" w:hAnsi="Times New Roman"/>
      <w:b w:val="0"/>
      <w:sz w:val="24"/>
      <w:szCs w:val="24"/>
      <w:vertAlign w:val="baseline"/>
    </w:rPr>
  </w:style>
  <w:style w:type="paragraph" w:styleId="Heading5">
    <w:name w:val="heading 5"/>
    <w:basedOn w:val="Normal"/>
    <w:next w:val="Normal"/>
    <w:pPr>
      <w:keepNext w:val="1"/>
      <w:keepLines w:val="1"/>
      <w:spacing w:after="0" w:before="0" w:line="240" w:lineRule="auto"/>
      <w:jc w:val="both"/>
    </w:pPr>
    <w:rPr>
      <w:rFonts w:ascii="Times New Roman" w:cs="Times New Roman" w:eastAsia="Times New Roman" w:hAnsi="Times New Roman"/>
      <w:b w:val="1"/>
      <w:sz w:val="24"/>
      <w:szCs w:val="24"/>
      <w:u w:val="single"/>
      <w:vertAlign w:val="baseline"/>
    </w:rPr>
  </w:style>
  <w:style w:type="paragraph" w:styleId="Heading6">
    <w:name w:val="heading 6"/>
    <w:basedOn w:val="Normal"/>
    <w:next w:val="Normal"/>
    <w:pPr>
      <w:keepNext w:val="1"/>
      <w:keepLines w:val="1"/>
      <w:spacing w:after="0" w:before="0" w:line="240" w:lineRule="auto"/>
      <w:jc w:val="center"/>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s>
</file>